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tabs>
          <w:tab w:val="left" w:pos="1110"/>
        </w:tabs>
        <w:ind w:left="0" w:firstLine="1280" w:firstLineChars="400"/>
        <w:jc w:val="left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tabs>
          <w:tab w:val="left" w:pos="1110"/>
        </w:tabs>
        <w:ind w:left="0" w:firstLine="440" w:firstLineChars="10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第二季度城市管理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区（县、市）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排名</w:t>
      </w:r>
    </w:p>
    <w:bookmarkEnd w:id="0"/>
    <w:p>
      <w:pPr>
        <w:tabs>
          <w:tab w:val="left" w:pos="1110"/>
        </w:tabs>
        <w:ind w:left="0" w:firstLine="1280" w:firstLineChars="40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01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区块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总分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越城区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219.00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柯桥区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217.33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上虞区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216.67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诸暨市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210.67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新昌县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208.00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93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 w:bidi="ar"/>
              </w:rPr>
              <w:t>嵊州市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204.33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6</w:t>
            </w:r>
          </w:p>
        </w:tc>
      </w:tr>
    </w:tbl>
    <w:p>
      <w:pPr>
        <w:ind w:left="0" w:leftChars="0" w:firstLine="1200" w:firstLineChars="500"/>
        <w:rPr>
          <w:rFonts w:hint="eastAsia"/>
          <w:sz w:val="24"/>
        </w:rPr>
      </w:pPr>
    </w:p>
    <w:p>
      <w:pPr>
        <w:ind w:left="0" w:leftChars="0" w:firstLine="1200" w:firstLineChars="5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总分为</w:t>
      </w:r>
      <w:r>
        <w:rPr>
          <w:rFonts w:hint="eastAsia"/>
          <w:sz w:val="24"/>
          <w:lang w:val="en-US" w:eastAsia="zh-CN"/>
        </w:rPr>
        <w:t>300</w:t>
      </w:r>
      <w:r>
        <w:rPr>
          <w:rFonts w:hint="eastAsia"/>
          <w:sz w:val="24"/>
        </w:rPr>
        <w:t>分</w:t>
      </w:r>
      <w:r>
        <w:rPr>
          <w:rFonts w:hint="eastAsia"/>
          <w:sz w:val="24"/>
          <w:lang w:eastAsia="zh-CN"/>
        </w:rPr>
        <w:t>，越</w:t>
      </w:r>
      <w:r>
        <w:rPr>
          <w:rFonts w:hint="eastAsia" w:ascii="仿宋" w:hAnsi="仿宋" w:eastAsia="仿宋" w:cs="仿宋"/>
          <w:sz w:val="24"/>
          <w:lang w:eastAsia="zh-CN"/>
        </w:rPr>
        <w:t>·</w:t>
      </w:r>
      <w:r>
        <w:rPr>
          <w:rFonts w:hint="eastAsia"/>
          <w:sz w:val="24"/>
          <w:lang w:eastAsia="zh-CN"/>
        </w:rPr>
        <w:t>美城管指数不计入本次考核</w:t>
      </w:r>
      <w:r>
        <w:rPr>
          <w:sz w:val="24"/>
        </w:rPr>
        <w:t>。</w:t>
      </w: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FEF395B"/>
    <w:rsid w:val="DFF47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2021-08-04T10:52:27Z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