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tabs>
          <w:tab w:val="left" w:pos="1110"/>
        </w:tabs>
        <w:ind w:left="0" w:firstLine="1280" w:firstLineChars="40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tabs>
          <w:tab w:val="left" w:pos="1110"/>
        </w:tabs>
        <w:ind w:left="0" w:firstLine="440" w:firstLineChars="10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第四季度城市管理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排名</w:t>
      </w:r>
      <w:bookmarkEnd w:id="0"/>
    </w:p>
    <w:p>
      <w:pPr>
        <w:tabs>
          <w:tab w:val="left" w:pos="1110"/>
        </w:tabs>
        <w:ind w:left="0" w:firstLine="1280" w:firstLineChars="40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tbl>
      <w:tblPr>
        <w:tblStyle w:val="6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01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区块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总分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越城区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295.83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诸暨市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292.44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上虞区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291.67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新昌县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289.95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柯桥区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288.69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嵊州市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287.48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firstLine="480" w:firstLineChars="200"/>
        <w:jc w:val="left"/>
        <w:textAlignment w:val="auto"/>
        <w:rPr>
          <w:rFonts w:hint="eastAsia" w:ascii="仿宋_GB2312" w:hAnsi="Calibri" w:eastAsia="仿宋_GB2312"/>
          <w:sz w:val="24"/>
          <w:szCs w:val="24"/>
          <w:lang w:val="en-US" w:eastAsia="zh-CN"/>
        </w:rPr>
      </w:pPr>
      <w:r>
        <w:rPr>
          <w:rFonts w:hint="eastAsia" w:ascii="仿宋_GB2312" w:hAnsi="Calibri" w:eastAsia="仿宋_GB2312" w:cs="Times New Roman"/>
          <w:sz w:val="24"/>
          <w:szCs w:val="24"/>
          <w:lang w:val="en-US" w:eastAsia="zh-CN"/>
        </w:rPr>
        <w:t>备注：1.</w:t>
      </w:r>
      <w:r>
        <w:rPr>
          <w:rFonts w:hint="eastAsia" w:ascii="仿宋_GB2312" w:hAnsi="Calibri" w:eastAsia="仿宋_GB2312"/>
          <w:sz w:val="24"/>
          <w:szCs w:val="24"/>
          <w:lang w:val="en-US" w:eastAsia="zh-CN"/>
        </w:rPr>
        <w:t>受疫情影响，12月份城市管理工作不纳入第四季度考核；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1200" w:firstLineChars="500"/>
        <w:jc w:val="left"/>
        <w:textAlignment w:val="auto"/>
        <w:rPr>
          <w:rFonts w:hint="default" w:ascii="仿宋_GB2312" w:hAnsi="Calibri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仿宋_GB2312" w:hAnsi="Calibri" w:eastAsia="仿宋_GB2312" w:cs="Times New Roman"/>
          <w:spacing w:val="0"/>
          <w:sz w:val="24"/>
          <w:szCs w:val="24"/>
          <w:lang w:val="en-US" w:eastAsia="zh-CN"/>
        </w:rPr>
        <w:t>2.考核总分400分，其中日常性考核300分，“越·美”城管指数100分。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DF51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2022-01-25T11:36:51Z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